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jc w:val="right"/>
      </w:pPr>
      <w:r>
        <w:rPr>
          <w:b/>
        </w:rPr>
        <w:t xml:space="preserve">Nederlandvve.nl</w:t>
      </w:r>
    </w:p>
    <w:p>
      <w:pPr>
        <w:pStyle w:val="Title"/>
      </w:pPr>
      <w:r>
        <w:rPr/>
        <w:t xml:space="preserve">Model incassoprotocol VvE</w:t>
      </w:r>
    </w:p>
    <w:p>
      <w:pPr>
        <w:pStyle w:val="Subtitle"/>
      </w:pPr>
      <w:r>
        <w:rPr/>
        <w:t xml:space="preserve">Praktische interne werkwijze voor betalingsachterstanden binnen de VvE.</w:t>
      </w:r>
    </w:p>
    <w:tbl>
      <w:tblPr>
        <w:tblW w:w="0" w:type="auto"/>
        <w:tblBorders>
          <w:top w:val="nil"/>
          <w:left w:val="nil"/>
          <w:bottom w:val="nil"/>
          <w:right w:val="nil"/>
          <w:insideH w:val="nil"/>
          <w:insideV w:val="nil"/>
        </w:tblBorders>
      </w:tblPr>
      <w:tr>
        <w:tc>
          <w:tcPr>
            <w:shd w:fill="EAF0F3"/>
            <w:tcMar>
              <w:top w:w="150" w:type="dxa"/>
              <w:left w:w="180" w:type="dxa"/>
              <w:bottom w:w="150" w:type="dxa"/>
              <w:right w:w="180" w:type="dxa"/>
            </w:tcMar>
          </w:tcPr>
          <w:p>
            <w:pPr/>
            <w:r>
              <w:rPr/>
              <w:t xml:space="preserve">Dit protocol is een organisatorisch hulpmiddel. Het vervangt geen machtiging van de vergadering als die op grond van de splitsingsakte of het toepasselijke reglement nodig is.</w:t>
            </w:r>
          </w:p>
        </w:tc>
      </w:tr>
    </w:tbl>
    <w:tbl>
      <w:tblPr>
        <w:tblW w:w="0" w:type="auto"/>
        <w:tblBorders>
          <w:top w:val="single" w:sz="4" w:color="D8E0E5"/>
          <w:left w:val="single" w:sz="4" w:color="D8E0E5"/>
          <w:bottom w:val="single" w:sz="4" w:color="D8E0E5"/>
          <w:right w:val="single" w:sz="4" w:color="D8E0E5"/>
          <w:insideH w:val="single" w:sz="4" w:color="D8E0E5"/>
          <w:insideV w:val="single" w:sz="4" w:color="D8E0E5"/>
        </w:tblBorders>
      </w:tblPr>
      <w:tr>
        <w:tc>
          <w:tcPr>
            <w:tcW w:w="2800" w:type="dxa"/>
            <w:shd w:fill="EAF0F3"/>
            <w:tcMar>
              <w:top w:w="90" w:type="dxa"/>
              <w:left w:w="110" w:type="dxa"/>
              <w:bottom w:w="90" w:type="dxa"/>
              <w:right w:w="110" w:type="dxa"/>
            </w:tcMar>
          </w:tcPr>
          <w:p>
            <w:pPr/>
            <w:r>
              <w:rPr>
                <w:b/>
              </w:rPr>
              <w:t xml:space="preserve">Naam VvE</w:t>
            </w:r>
          </w:p>
        </w:tc>
        <w:tc>
          <w:tcPr>
            <w:tcW w:w="6000" w:type="dxa"/>
            <w:tcMar>
              <w:top w:w="90" w:type="dxa"/>
              <w:left w:w="110" w:type="dxa"/>
              <w:bottom w:w="90" w:type="dxa"/>
              <w:right w:w="110" w:type="dxa"/>
            </w:tcMar>
          </w:tcPr>
          <w:p>
            <w:pPr/>
            <w:r>
              <w:rPr/>
              <w:t xml:space="preserve">[naam VvE]</w:t>
            </w:r>
          </w:p>
        </w:tc>
      </w:tr>
      <w:tr>
        <w:tc>
          <w:tcPr>
            <w:tcW w:w="2800" w:type="dxa"/>
            <w:shd w:fill="EAF0F3"/>
            <w:tcMar>
              <w:top w:w="90" w:type="dxa"/>
              <w:left w:w="110" w:type="dxa"/>
              <w:bottom w:w="90" w:type="dxa"/>
              <w:right w:w="110" w:type="dxa"/>
            </w:tcMar>
          </w:tcPr>
          <w:p>
            <w:pPr/>
            <w:r>
              <w:rPr>
                <w:b/>
              </w:rPr>
              <w:t xml:space="preserve">Vastgesteld op</w:t>
            </w:r>
          </w:p>
        </w:tc>
        <w:tc>
          <w:tcPr>
            <w:tcW w:w="6000" w:type="dxa"/>
            <w:tcMar>
              <w:top w:w="90" w:type="dxa"/>
              <w:left w:w="110" w:type="dxa"/>
              <w:bottom w:w="90" w:type="dxa"/>
              <w:right w:w="110" w:type="dxa"/>
            </w:tcMar>
          </w:tcPr>
          <w:p>
            <w:pPr/>
            <w:r>
              <w:rPr/>
              <w:t xml:space="preserve">[dd-mm-jjjj]</w:t>
            </w:r>
          </w:p>
        </w:tc>
      </w:tr>
      <w:tr>
        <w:tc>
          <w:tcPr>
            <w:tcW w:w="2800" w:type="dxa"/>
            <w:shd w:fill="EAF0F3"/>
            <w:tcMar>
              <w:top w:w="90" w:type="dxa"/>
              <w:left w:w="110" w:type="dxa"/>
              <w:bottom w:w="90" w:type="dxa"/>
              <w:right w:w="110" w:type="dxa"/>
            </w:tcMar>
          </w:tcPr>
          <w:p>
            <w:pPr/>
            <w:r>
              <w:rPr>
                <w:b/>
              </w:rPr>
              <w:t xml:space="preserve">Ingangsdatum</w:t>
            </w:r>
          </w:p>
        </w:tc>
        <w:tc>
          <w:tcPr>
            <w:tcW w:w="6000" w:type="dxa"/>
            <w:tcMar>
              <w:top w:w="90" w:type="dxa"/>
              <w:left w:w="110" w:type="dxa"/>
              <w:bottom w:w="90" w:type="dxa"/>
              <w:right w:w="110" w:type="dxa"/>
            </w:tcMar>
          </w:tcPr>
          <w:p>
            <w:pPr/>
            <w:r>
              <w:rPr/>
              <w:t xml:space="preserve">[dd-mm-jjjj]</w:t>
            </w:r>
          </w:p>
        </w:tc>
      </w:tr>
      <w:tr>
        <w:tc>
          <w:tcPr>
            <w:tcW w:w="2800" w:type="dxa"/>
            <w:shd w:fill="EAF0F3"/>
            <w:tcMar>
              <w:top w:w="90" w:type="dxa"/>
              <w:left w:w="110" w:type="dxa"/>
              <w:bottom w:w="90" w:type="dxa"/>
              <w:right w:w="110" w:type="dxa"/>
            </w:tcMar>
          </w:tcPr>
          <w:p>
            <w:pPr/>
            <w:r>
              <w:rPr>
                <w:b/>
              </w:rPr>
              <w:t xml:space="preserve">Toepasselijk modelreglement</w:t>
            </w:r>
          </w:p>
        </w:tc>
        <w:tc>
          <w:tcPr>
            <w:tcW w:w="6000" w:type="dxa"/>
            <w:tcMar>
              <w:top w:w="90" w:type="dxa"/>
              <w:left w:w="110" w:type="dxa"/>
              <w:bottom w:w="90" w:type="dxa"/>
              <w:right w:w="110" w:type="dxa"/>
            </w:tcMar>
          </w:tcPr>
          <w:p>
            <w:pPr/>
            <w:r>
              <w:rPr/>
              <w:t xml:space="preserve">[invullen]</w:t>
            </w:r>
          </w:p>
        </w:tc>
      </w:tr>
    </w:tbl>
    <w:p>
      <w:pPr>
        <w:pStyle w:val="Heading1"/>
      </w:pPr>
      <w:r>
        <w:rPr/>
        <w:t xml:space="preserve">1. Doel en uitgangspunten</w:t>
      </w:r>
    </w:p>
    <w:p>
      <w:pPr/>
      <w:r>
        <w:rPr/>
        <w:t xml:space="preserve">Dit protocol beschrijft hoe de VvE omgaat met opeisbare en onbetaald gebleven bijdragen. Doel is een consequente, tijdige en uitlegbare aanpak. Het bestuur of de beheerder controleert bij iedere stap de splitsingsakte, het toepasselijke modelreglement en de concrete vordering.</w:t>
      </w:r>
    </w:p>
    <w:p>
      <w:pPr>
        <w:pStyle w:val="Heading1"/>
      </w:pPr>
      <w:r>
        <w:rPr/>
        <w:t xml:space="preserve">2. Stappen bij een betalingsachterstand</w:t>
      </w:r>
    </w:p>
    <w:tbl>
      <w:tblPr>
        <w:tblW w:w="0" w:type="auto"/>
        <w:tblBorders>
          <w:top w:val="single" w:sz="4" w:color="D8E0E5"/>
          <w:left w:val="single" w:sz="4" w:color="D8E0E5"/>
          <w:bottom w:val="single" w:sz="4" w:color="D8E0E5"/>
          <w:right w:val="single" w:sz="4" w:color="D8E0E5"/>
          <w:insideH w:val="single" w:sz="4" w:color="D8E0E5"/>
          <w:insideV w:val="single" w:sz="4" w:color="D8E0E5"/>
        </w:tblBorders>
      </w:tblPr>
      <w:tr>
        <w:tc>
          <w:tcPr>
            <w:tcW w:w="800" w:type="dxa"/>
            <w:shd w:fill="245568"/>
            <w:tcMar>
              <w:top w:w="90" w:type="dxa"/>
              <w:left w:w="110" w:type="dxa"/>
              <w:bottom w:w="90" w:type="dxa"/>
              <w:right w:w="110" w:type="dxa"/>
            </w:tcMar>
          </w:tcPr>
          <w:p>
            <w:pPr/>
            <w:r>
              <w:rPr>
                <w:b/>
              </w:rPr>
              <w:t xml:space="preserve">Stap</w:t>
            </w:r>
          </w:p>
        </w:tc>
        <w:tc>
          <w:tcPr>
            <w:tcW w:w="5600" w:type="dxa"/>
            <w:shd w:fill="245568"/>
            <w:tcMar>
              <w:top w:w="90" w:type="dxa"/>
              <w:left w:w="110" w:type="dxa"/>
              <w:bottom w:w="90" w:type="dxa"/>
              <w:right w:w="110" w:type="dxa"/>
            </w:tcMar>
          </w:tcPr>
          <w:p>
            <w:pPr/>
            <w:r>
              <w:rPr>
                <w:b/>
              </w:rPr>
              <w:t xml:space="preserve">Actie</w:t>
            </w:r>
          </w:p>
        </w:tc>
        <w:tc>
          <w:tcPr>
            <w:tcW w:w="2200" w:type="dxa"/>
            <w:shd w:fill="245568"/>
            <w:tcMar>
              <w:top w:w="90" w:type="dxa"/>
              <w:left w:w="110" w:type="dxa"/>
              <w:bottom w:w="90" w:type="dxa"/>
              <w:right w:w="110" w:type="dxa"/>
            </w:tcMar>
          </w:tcPr>
          <w:p>
            <w:pPr/>
            <w:r>
              <w:rPr>
                <w:b/>
              </w:rPr>
              <w:t xml:space="preserve">Termijn / afspraak</w:t>
            </w:r>
          </w:p>
        </w:tc>
      </w:tr>
      <w:tr>
        <w:tc>
          <w:tcPr>
            <w:tcW w:w="800" w:type="dxa"/>
            <w:tcMar>
              <w:top w:w="90" w:type="dxa"/>
              <w:left w:w="110" w:type="dxa"/>
              <w:bottom w:w="90" w:type="dxa"/>
              <w:right w:w="110" w:type="dxa"/>
            </w:tcMar>
          </w:tcPr>
          <w:p>
            <w:pPr/>
            <w:r>
              <w:rPr/>
              <w:t xml:space="preserve">1</w:t>
            </w:r>
          </w:p>
        </w:tc>
        <w:tc>
          <w:tcPr>
            <w:tcW w:w="5600" w:type="dxa"/>
            <w:tcMar>
              <w:top w:w="90" w:type="dxa"/>
              <w:left w:w="110" w:type="dxa"/>
              <w:bottom w:w="90" w:type="dxa"/>
              <w:right w:w="110" w:type="dxa"/>
            </w:tcMar>
          </w:tcPr>
          <w:p>
            <w:pPr/>
            <w:r>
              <w:rPr/>
              <w:t xml:space="preserve">Controle vordering: bedrag, periode, besluit, opeisbaarheid en betaalstatus.</w:t>
            </w:r>
          </w:p>
        </w:tc>
        <w:tc>
          <w:tcPr>
            <w:tcW w:w="2200" w:type="dxa"/>
            <w:tcMar>
              <w:top w:w="90" w:type="dxa"/>
              <w:left w:w="110" w:type="dxa"/>
              <w:bottom w:w="90" w:type="dxa"/>
              <w:right w:w="110" w:type="dxa"/>
            </w:tcMar>
          </w:tcPr>
          <w:p>
            <w:pPr/>
            <w:r>
              <w:rPr/>
              <w:t xml:space="preserve">[invullen]</w:t>
            </w:r>
          </w:p>
        </w:tc>
      </w:tr>
      <w:tr>
        <w:tc>
          <w:tcPr>
            <w:tcW w:w="800" w:type="dxa"/>
            <w:tcMar>
              <w:top w:w="90" w:type="dxa"/>
              <w:left w:w="110" w:type="dxa"/>
              <w:bottom w:w="90" w:type="dxa"/>
              <w:right w:w="110" w:type="dxa"/>
            </w:tcMar>
          </w:tcPr>
          <w:p>
            <w:pPr/>
            <w:r>
              <w:rPr/>
              <w:t xml:space="preserve">2</w:t>
            </w:r>
          </w:p>
        </w:tc>
        <w:tc>
          <w:tcPr>
            <w:tcW w:w="5600" w:type="dxa"/>
            <w:tcMar>
              <w:top w:w="90" w:type="dxa"/>
              <w:left w:w="110" w:type="dxa"/>
              <w:bottom w:w="90" w:type="dxa"/>
              <w:right w:w="110" w:type="dxa"/>
            </w:tcMar>
          </w:tcPr>
          <w:p>
            <w:pPr/>
            <w:r>
              <w:rPr/>
              <w:t xml:space="preserve">Betalingsherinnering: vriendelijke herinnering met hoofdsom, periode, betaaldatum en betaalgegevens.</w:t>
            </w:r>
          </w:p>
        </w:tc>
        <w:tc>
          <w:tcPr>
            <w:tcW w:w="2200" w:type="dxa"/>
            <w:tcMar>
              <w:top w:w="90" w:type="dxa"/>
              <w:left w:w="110" w:type="dxa"/>
              <w:bottom w:w="90" w:type="dxa"/>
              <w:right w:w="110" w:type="dxa"/>
            </w:tcMar>
          </w:tcPr>
          <w:p>
            <w:pPr/>
            <w:r>
              <w:rPr/>
              <w:t xml:space="preserve">[invullen]</w:t>
            </w:r>
          </w:p>
        </w:tc>
      </w:tr>
      <w:tr>
        <w:tc>
          <w:tcPr>
            <w:tcW w:w="800" w:type="dxa"/>
            <w:tcMar>
              <w:top w:w="90" w:type="dxa"/>
              <w:left w:w="110" w:type="dxa"/>
              <w:bottom w:w="90" w:type="dxa"/>
              <w:right w:w="110" w:type="dxa"/>
            </w:tcMar>
          </w:tcPr>
          <w:p>
            <w:pPr/>
            <w:r>
              <w:rPr/>
              <w:t xml:space="preserve">3</w:t>
            </w:r>
          </w:p>
        </w:tc>
        <w:tc>
          <w:tcPr>
            <w:tcW w:w="5600" w:type="dxa"/>
            <w:tcMar>
              <w:top w:w="90" w:type="dxa"/>
              <w:left w:w="110" w:type="dxa"/>
              <w:bottom w:w="90" w:type="dxa"/>
              <w:right w:w="110" w:type="dxa"/>
            </w:tcMar>
          </w:tcPr>
          <w:p>
            <w:pPr/>
            <w:r>
              <w:rPr/>
              <w:t xml:space="preserve">Aanmaning: indien nodig een duidelijk vervolgverzoek; leg contactpogingen vast.</w:t>
            </w:r>
          </w:p>
        </w:tc>
        <w:tc>
          <w:tcPr>
            <w:tcW w:w="2200" w:type="dxa"/>
            <w:tcMar>
              <w:top w:w="90" w:type="dxa"/>
              <w:left w:w="110" w:type="dxa"/>
              <w:bottom w:w="90" w:type="dxa"/>
              <w:right w:w="110" w:type="dxa"/>
            </w:tcMar>
          </w:tcPr>
          <w:p>
            <w:pPr/>
            <w:r>
              <w:rPr/>
              <w:t xml:space="preserve">[invullen]</w:t>
            </w:r>
          </w:p>
        </w:tc>
      </w:tr>
      <w:tr>
        <w:tc>
          <w:tcPr>
            <w:tcW w:w="800" w:type="dxa"/>
            <w:tcMar>
              <w:top w:w="90" w:type="dxa"/>
              <w:left w:w="110" w:type="dxa"/>
              <w:bottom w:w="90" w:type="dxa"/>
              <w:right w:w="110" w:type="dxa"/>
            </w:tcMar>
          </w:tcPr>
          <w:p>
            <w:pPr/>
            <w:r>
              <w:rPr/>
              <w:t xml:space="preserve">4</w:t>
            </w:r>
          </w:p>
        </w:tc>
        <w:tc>
          <w:tcPr>
            <w:tcW w:w="5600" w:type="dxa"/>
            <w:tcMar>
              <w:top w:w="90" w:type="dxa"/>
              <w:left w:w="110" w:type="dxa"/>
              <w:bottom w:w="90" w:type="dxa"/>
              <w:right w:w="110" w:type="dxa"/>
            </w:tcMar>
          </w:tcPr>
          <w:p>
            <w:pPr/>
            <w:r>
              <w:rPr/>
              <w:t xml:space="preserve">Verzuim vaststellen: bepaal wanneer verzuim is ingetreden. Opeisbaarheid en verzuim zijn niet hetzelfde.</w:t>
            </w:r>
          </w:p>
        </w:tc>
        <w:tc>
          <w:tcPr>
            <w:tcW w:w="2200" w:type="dxa"/>
            <w:tcMar>
              <w:top w:w="90" w:type="dxa"/>
              <w:left w:w="110" w:type="dxa"/>
              <w:bottom w:w="90" w:type="dxa"/>
              <w:right w:w="110" w:type="dxa"/>
            </w:tcMar>
          </w:tcPr>
          <w:p>
            <w:pPr/>
            <w:r>
              <w:rPr/>
              <w:t xml:space="preserve">[invullen]</w:t>
            </w:r>
          </w:p>
        </w:tc>
      </w:tr>
      <w:tr>
        <w:tc>
          <w:tcPr>
            <w:tcW w:w="800" w:type="dxa"/>
            <w:tcMar>
              <w:top w:w="90" w:type="dxa"/>
              <w:left w:w="110" w:type="dxa"/>
              <w:bottom w:w="90" w:type="dxa"/>
              <w:right w:w="110" w:type="dxa"/>
            </w:tcMar>
          </w:tcPr>
          <w:p>
            <w:pPr/>
            <w:r>
              <w:rPr/>
              <w:t xml:space="preserve">5</w:t>
            </w:r>
          </w:p>
        </w:tc>
        <w:tc>
          <w:tcPr>
            <w:tcW w:w="5600" w:type="dxa"/>
            <w:tcMar>
              <w:top w:w="90" w:type="dxa"/>
              <w:left w:w="110" w:type="dxa"/>
              <w:bottom w:w="90" w:type="dxa"/>
              <w:right w:w="110" w:type="dxa"/>
            </w:tcMar>
          </w:tcPr>
          <w:p>
            <w:pPr/>
            <w:r>
              <w:rPr/>
              <w:t xml:space="preserve">14-dagenbrief: bij particuliere eigenaar indien buitengerechtelijke incassokosten zullen worden gevorderd.</w:t>
            </w:r>
          </w:p>
        </w:tc>
        <w:tc>
          <w:tcPr>
            <w:tcW w:w="2200" w:type="dxa"/>
            <w:tcMar>
              <w:top w:w="90" w:type="dxa"/>
              <w:left w:w="110" w:type="dxa"/>
              <w:bottom w:w="90" w:type="dxa"/>
              <w:right w:w="110" w:type="dxa"/>
            </w:tcMar>
          </w:tcPr>
          <w:p>
            <w:pPr/>
            <w:r>
              <w:rPr/>
              <w:t xml:space="preserve">[invullen]</w:t>
            </w:r>
          </w:p>
        </w:tc>
      </w:tr>
      <w:tr>
        <w:tc>
          <w:tcPr>
            <w:tcW w:w="800" w:type="dxa"/>
            <w:tcMar>
              <w:top w:w="90" w:type="dxa"/>
              <w:left w:w="110" w:type="dxa"/>
              <w:bottom w:w="90" w:type="dxa"/>
              <w:right w:w="110" w:type="dxa"/>
            </w:tcMar>
          </w:tcPr>
          <w:p>
            <w:pPr/>
            <w:r>
              <w:rPr/>
              <w:t xml:space="preserve">6</w:t>
            </w:r>
          </w:p>
        </w:tc>
        <w:tc>
          <w:tcPr>
            <w:tcW w:w="5600" w:type="dxa"/>
            <w:tcMar>
              <w:top w:w="90" w:type="dxa"/>
              <w:left w:w="110" w:type="dxa"/>
              <w:bottom w:w="90" w:type="dxa"/>
              <w:right w:w="110" w:type="dxa"/>
            </w:tcMar>
          </w:tcPr>
          <w:p>
            <w:pPr/>
            <w:r>
              <w:rPr/>
              <w:t xml:space="preserve">Machtiging controleren: controleer of voor een gerechtelijke incassoprocedure een afzonderlijke machtiging nodig is.</w:t>
            </w:r>
          </w:p>
        </w:tc>
        <w:tc>
          <w:tcPr>
            <w:tcW w:w="2200" w:type="dxa"/>
            <w:tcMar>
              <w:top w:w="90" w:type="dxa"/>
              <w:left w:w="110" w:type="dxa"/>
              <w:bottom w:w="90" w:type="dxa"/>
              <w:right w:w="110" w:type="dxa"/>
            </w:tcMar>
          </w:tcPr>
          <w:p>
            <w:pPr/>
            <w:r>
              <w:rPr/>
              <w:t xml:space="preserve">[invullen]</w:t>
            </w:r>
          </w:p>
        </w:tc>
      </w:tr>
      <w:tr>
        <w:tc>
          <w:tcPr>
            <w:tcW w:w="800" w:type="dxa"/>
            <w:tcMar>
              <w:top w:w="90" w:type="dxa"/>
              <w:left w:w="110" w:type="dxa"/>
              <w:bottom w:w="90" w:type="dxa"/>
              <w:right w:w="110" w:type="dxa"/>
            </w:tcMar>
          </w:tcPr>
          <w:p>
            <w:pPr/>
            <w:r>
              <w:rPr/>
              <w:t xml:space="preserve">7</w:t>
            </w:r>
          </w:p>
        </w:tc>
        <w:tc>
          <w:tcPr>
            <w:tcW w:w="5600" w:type="dxa"/>
            <w:tcMar>
              <w:top w:w="90" w:type="dxa"/>
              <w:left w:w="110" w:type="dxa"/>
              <w:bottom w:w="90" w:type="dxa"/>
              <w:right w:w="110" w:type="dxa"/>
            </w:tcMar>
          </w:tcPr>
          <w:p>
            <w:pPr/>
            <w:r>
              <w:rPr/>
              <w:t xml:space="preserve">Dossier compleet maken: splitsingsakte, bijdragebesluiten, debiteurenoverzicht, correspondentie en verzend/ontvangstbewijs.</w:t>
            </w:r>
          </w:p>
        </w:tc>
        <w:tc>
          <w:tcPr>
            <w:tcW w:w="2200" w:type="dxa"/>
            <w:tcMar>
              <w:top w:w="90" w:type="dxa"/>
              <w:left w:w="110" w:type="dxa"/>
              <w:bottom w:w="90" w:type="dxa"/>
              <w:right w:w="110" w:type="dxa"/>
            </w:tcMar>
          </w:tcPr>
          <w:p>
            <w:pPr/>
            <w:r>
              <w:rPr/>
              <w:t xml:space="preserve">[invullen]</w:t>
            </w:r>
          </w:p>
        </w:tc>
      </w:tr>
      <w:tr>
        <w:tc>
          <w:tcPr>
            <w:tcW w:w="800" w:type="dxa"/>
            <w:tcMar>
              <w:top w:w="90" w:type="dxa"/>
              <w:left w:w="110" w:type="dxa"/>
              <w:bottom w:w="90" w:type="dxa"/>
              <w:right w:w="110" w:type="dxa"/>
            </w:tcMar>
          </w:tcPr>
          <w:p>
            <w:pPr/>
            <w:r>
              <w:rPr/>
              <w:t xml:space="preserve">8</w:t>
            </w:r>
          </w:p>
        </w:tc>
        <w:tc>
          <w:tcPr>
            <w:tcW w:w="5600" w:type="dxa"/>
            <w:tcMar>
              <w:top w:w="90" w:type="dxa"/>
              <w:left w:w="110" w:type="dxa"/>
              <w:bottom w:w="90" w:type="dxa"/>
              <w:right w:w="110" w:type="dxa"/>
            </w:tcMar>
          </w:tcPr>
          <w:p>
            <w:pPr/>
            <w:r>
              <w:rPr/>
              <w:t xml:space="preserve">Overdracht: draag pas over wanneer de basisinformatie compleet is en leg bedrag en periode vast.</w:t>
            </w:r>
          </w:p>
        </w:tc>
        <w:tc>
          <w:tcPr>
            <w:tcW w:w="2200" w:type="dxa"/>
            <w:tcMar>
              <w:top w:w="90" w:type="dxa"/>
              <w:left w:w="110" w:type="dxa"/>
              <w:bottom w:w="90" w:type="dxa"/>
              <w:right w:w="110" w:type="dxa"/>
            </w:tcMar>
          </w:tcPr>
          <w:p>
            <w:pPr/>
            <w:r>
              <w:rPr/>
              <w:t xml:space="preserve">[invullen]</w:t>
            </w:r>
          </w:p>
        </w:tc>
      </w:tr>
      <w:tr>
        <w:tc>
          <w:tcPr>
            <w:tcW w:w="800" w:type="dxa"/>
            <w:tcMar>
              <w:top w:w="90" w:type="dxa"/>
              <w:left w:w="110" w:type="dxa"/>
              <w:bottom w:w="90" w:type="dxa"/>
              <w:right w:w="110" w:type="dxa"/>
            </w:tcMar>
          </w:tcPr>
          <w:p>
            <w:pPr/>
            <w:r>
              <w:rPr/>
              <w:t xml:space="preserve">9</w:t>
            </w:r>
          </w:p>
        </w:tc>
        <w:tc>
          <w:tcPr>
            <w:tcW w:w="5600" w:type="dxa"/>
            <w:tcMar>
              <w:top w:w="90" w:type="dxa"/>
              <w:left w:w="110" w:type="dxa"/>
              <w:bottom w:w="90" w:type="dxa"/>
              <w:right w:w="110" w:type="dxa"/>
            </w:tcMar>
          </w:tcPr>
          <w:p>
            <w:pPr/>
            <w:r>
              <w:rPr/>
              <w:t xml:space="preserve">Nieuwe termijnen: houd nieuwe onbetaalde bijdragen na overdracht apart bij en stem af hoe deze worden toegevoegd.</w:t>
            </w:r>
          </w:p>
        </w:tc>
        <w:tc>
          <w:tcPr>
            <w:tcW w:w="2200" w:type="dxa"/>
            <w:tcMar>
              <w:top w:w="90" w:type="dxa"/>
              <w:left w:w="110" w:type="dxa"/>
              <w:bottom w:w="90" w:type="dxa"/>
              <w:right w:w="110" w:type="dxa"/>
            </w:tcMar>
          </w:tcPr>
          <w:p>
            <w:pPr/>
            <w:r>
              <w:rPr/>
              <w:t xml:space="preserve">[invullen]</w:t>
            </w:r>
          </w:p>
        </w:tc>
      </w:tr>
    </w:tbl>
    <w:p>
      <w:pPr>
        <w:pStyle w:val="Heading1"/>
      </w:pPr>
      <w:r>
        <w:rPr/>
        <w:t xml:space="preserve">3. Kosten, rente en communicatie</w:t>
      </w:r>
    </w:p>
    <w:p>
      <w:pPr/>
      <w:r>
        <w:rPr/>
        <w:t xml:space="preserve">Breng alleen rente en incassokosten in rekening als daarvoor een rechtsgrond bestaat en aan de toepasselijke voorwaarden is voldaan. Communicatie blijft feitelijk en professioneel. Leg verzonden correspondentie, telefoongesprekken en betaalafspraken vast in het dossier.</w:t>
      </w:r>
    </w:p>
    <w:p>
      <w:pPr>
        <w:pStyle w:val="Heading1"/>
      </w:pPr>
      <w:r>
        <w:rPr/>
        <w:t xml:space="preserve">4. Privacy en dossierbeheer</w:t>
      </w:r>
    </w:p>
    <w:p>
      <w:pPr/>
      <w:r>
        <w:rPr/>
        <w:t xml:space="preserve">Neem alleen persoonsgegevens op die noodzakelijk zijn voor de incasso. Stuur geen BSN, kopie identiteitsbewijs of andere onnodige gevoelige gegevens mee. Beperk toegang tot het dossier tot personen en professionals die deze informatie nodig hebben.</w:t>
      </w:r>
    </w:p>
    <w:p>
      <w:pPr>
        <w:pStyle w:val="Heading1"/>
      </w:pPr>
      <w:r>
        <w:rPr/>
        <w:t xml:space="preserve">5. Evaluatie</w:t>
      </w:r>
    </w:p>
    <w:p>
      <w:pPr/>
      <w:r>
        <w:rPr/>
        <w:t xml:space="preserve">Het bestuur evalueert dit protocol minimaal eenmaal per jaar en past het zo nodig aan aan gewijzigde wetgeving, reglementen en praktijkervaring.</w:t>
      </w:r>
    </w:p>
    <w:p>
      <w:pPr/>
      <w:r>
        <w:rPr>
          <w:i/>
        </w:rPr>
        <w:t xml:space="preserve">Nederlandvve.nl | Modeldocument voor VvE's | Controleer altijd de eigen splitsingsakte en concrete situatie.</w:t>
      </w:r>
    </w:p>
    <w:sectPr>
      <w:pgSz w:w="11906" w:h="16838"/>
      <w:pgMar w:top="1134" w:right="1134" w:bottom="1134" w:left="1134" w:header="540" w:footer="540" w:gutter="0"/>
    </w:sectPr>
  </w:body>
</w:document>
</file>

<file path=word/styles.xml><?xml version="1.0" encoding="utf-8"?>
<w:styles xmlns:w="http://schemas.openxmlformats.org/wordprocessingml/2006/main">
  <w:style w:type="paragraph" w:default="1" w:styleId="Normal">
    <w:name w:val="Normal"/>
    <w:rPr>
      <w:rFonts w:ascii="Arial" w:hAnsi="Arial"/>
      <w:sz w:val="21"/>
      <w:szCs w:val="21"/>
      <w:color w:val="1F1F1F"/>
    </w:rPr>
    <w:pPr>
      <w:spacing w:after="120" w:line="270" w:lineRule="auto"/>
    </w:pPr>
  </w:style>
  <w:style w:type="paragraph" w:styleId="Title">
    <w:name w:val="Title"/>
    <w:basedOn w:val="Normal"/>
    <w:rPr>
      <w:rFonts w:ascii="Arial" w:hAnsi="Arial"/>
      <w:b/>
      <w:sz w:val="38"/>
      <w:szCs w:val="38"/>
      <w:color w:val="162A38"/>
    </w:rPr>
    <w:pPr>
      <w:spacing w:before="120" w:after="80"/>
    </w:pPr>
  </w:style>
  <w:style w:type="paragraph" w:styleId="Subtitle">
    <w:name w:val="Subtitle"/>
    <w:basedOn w:val="Normal"/>
    <w:rPr>
      <w:rFonts w:ascii="Arial" w:hAnsi="Arial"/>
      <w:i/>
      <w:sz w:val="22"/>
      <w:szCs w:val="22"/>
      <w:color w:val="52616B"/>
    </w:rPr>
    <w:pPr>
      <w:spacing w:after="200"/>
    </w:pPr>
  </w:style>
  <w:style w:type="paragraph" w:styleId="Heading1">
    <w:name w:val="heading 1"/>
    <w:basedOn w:val="Normal"/>
    <w:rPr>
      <w:rFonts w:ascii="Arial" w:hAnsi="Arial"/>
      <w:b/>
      <w:sz w:val="28"/>
      <w:szCs w:val="28"/>
      <w:color w:val="162A38"/>
    </w:rPr>
    <w:pPr>
      <w:keepNext/>
      <w:spacing w:before="260" w:after="100"/>
    </w:pPr>
  </w:style>
</w:styles>
</file>

<file path=word/_rels/document.xml.rels><?xml version="1.0" encoding="UTF-8" standalone="yes"?><Relationships xmlns="http://schemas.openxmlformats.org/package/2006/relationships"></Relationships>
</file>

<file path=docProps/app.xml><?xml version="1.0" encoding="utf-8"?>
<Properties xmlns="http://schemas.openxmlformats.org/officeDocument/2006/extended-properties" xmlns:vt="http://schemas.openxmlformats.org/officeDocument/2006/docPropsVTypes">
  <Application>Nederlandvve.nl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incassoprotocol VvE</dc:title>
  <dc:creator>Nederlandvve.nl</dc:creator>
  <cp:lastModifiedBy>Nederlandvve.nl</cp:lastModifiedBy>
  <dcterms:created xsi:type="dcterms:W3CDTF">2026-09-15T13:44:04Z</dcterms:created>
  <dcterms:modified xsi:type="dcterms:W3CDTF">2026-09-15T13:44:04Z</dcterms:modified>
</cp:coreProperties>
</file>